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D63" w14:textId="77777777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F20C49">
        <w:rPr>
          <w:rStyle w:val="a4"/>
          <w:rFonts w:ascii="Arial" w:hAnsi="Arial" w:cs="Arial"/>
          <w:color w:val="000000" w:themeColor="text1"/>
          <w:sz w:val="27"/>
          <w:szCs w:val="27"/>
        </w:rPr>
        <w:t>Об ответственности граждан за незаконное отчуждение охотничьего гладкоствольного длинноствольного оружия</w:t>
      </w:r>
    </w:p>
    <w:p w14:paraId="3330EAEC" w14:textId="1CFB8292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Кемеровской межрайонной природоохранной прокуратурой проанализирована следственно-судебная практика, а также законодательство, регламентирующее порядок привлечения к уголовной и административной ответственности граждан за незаконное отчуждение охотничьего гладкоствольного длинноствольного</w:t>
      </w:r>
      <w:bookmarkStart w:id="0" w:name="_GoBack"/>
      <w:bookmarkEnd w:id="0"/>
      <w:r>
        <w:rPr>
          <w:rFonts w:ascii="Arial" w:hAnsi="Arial" w:cs="Arial"/>
          <w:color w:val="000000" w:themeColor="text1"/>
          <w:sz w:val="27"/>
          <w:szCs w:val="27"/>
        </w:rPr>
        <w:t xml:space="preserve"> оружия.</w:t>
      </w:r>
    </w:p>
    <w:p w14:paraId="404ECF38" w14:textId="643DD568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F20C49">
        <w:rPr>
          <w:rFonts w:ascii="Arial" w:hAnsi="Arial" w:cs="Arial"/>
          <w:color w:val="000000" w:themeColor="text1"/>
          <w:sz w:val="27"/>
          <w:szCs w:val="27"/>
        </w:rPr>
        <w:t>Уголовная ответственность за сбыт гражданского огнестрельного гладкоствольного длинноствольного оружия введена Федеральным законом от 28.12.2010 № 398-ФЗ «О внесении изменений в отдельные законодательные акты </w:t>
      </w:r>
      <w:r w:rsidRPr="00F20C49">
        <w:rPr>
          <w:rStyle w:val="hl-obj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Российской Федерации</w:t>
      </w:r>
      <w:r w:rsidRPr="00F20C49">
        <w:rPr>
          <w:rFonts w:ascii="Arial" w:hAnsi="Arial" w:cs="Arial"/>
          <w:color w:val="000000" w:themeColor="text1"/>
          <w:sz w:val="27"/>
          <w:szCs w:val="27"/>
        </w:rPr>
        <w:t> по вопросу усиления контроля в сфере оборота гражданского оружия» и предусмотрена ч. 4 ст. 222 УК РФ. Этим же Федеральным законом введен пункт 6 в статью 20.8 КоАП РФ, предусматривающий административную ответственность за действия, связанные с незаконной продажей, передачей гражданского огнестрельного гладкоствольного оружия.</w:t>
      </w:r>
    </w:p>
    <w:p w14:paraId="2A707049" w14:textId="77777777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F20C49">
        <w:rPr>
          <w:rFonts w:ascii="Arial" w:hAnsi="Arial" w:cs="Arial"/>
          <w:color w:val="000000" w:themeColor="text1"/>
          <w:sz w:val="27"/>
          <w:szCs w:val="27"/>
        </w:rPr>
        <w:t>Понятие незаконного сбыта содержится в пункте 11 постановления Пленума </w:t>
      </w:r>
      <w:r w:rsidRPr="00F20C49">
        <w:rPr>
          <w:rStyle w:val="hl-obj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Верховного Суда РФ</w:t>
      </w:r>
      <w:r w:rsidRPr="00F20C49">
        <w:rPr>
          <w:rFonts w:ascii="Arial" w:hAnsi="Arial" w:cs="Arial"/>
          <w:color w:val="000000" w:themeColor="text1"/>
          <w:sz w:val="27"/>
          <w:szCs w:val="27"/>
        </w:rPr>
        <w:t> от 12.03.2002 № 5 «О судебной практике по делам о хищениях, вымогательстве и незаконном обороте оружия, боеприпасов, взрывчатых веществ и взрывных устройств», под которым следует понимать их безвозвратное (в отличие от незаконной передачи) отчуждение в собственность иных лиц в результате совершения какой-либо противоправной сделки (возмездной или безвозмездной), т.е. продажу, дарение, обмен и т.п.</w:t>
      </w:r>
    </w:p>
    <w:p w14:paraId="36906B4D" w14:textId="77777777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F20C49">
        <w:rPr>
          <w:rFonts w:ascii="Arial" w:hAnsi="Arial" w:cs="Arial"/>
          <w:color w:val="000000" w:themeColor="text1"/>
          <w:sz w:val="27"/>
          <w:szCs w:val="27"/>
        </w:rPr>
        <w:t>Противоправность деяния, сопряженного со сбытом охотничьего оружия, установлена законодательными актами, предметом регулирования которых является порядок сделок с оружием. Так, согласно статье 20 Федерального закона от 13.12.1996 года № 150-ФЗ (ред. от 29.12.2017) «Об оружии» граждане </w:t>
      </w:r>
      <w:r w:rsidRPr="00F20C49">
        <w:rPr>
          <w:rStyle w:val="hl-obj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Российской Федерации</w:t>
      </w:r>
      <w:r w:rsidRPr="00F20C49">
        <w:rPr>
          <w:rFonts w:ascii="Arial" w:hAnsi="Arial" w:cs="Arial"/>
          <w:color w:val="000000" w:themeColor="text1"/>
          <w:sz w:val="27"/>
          <w:szCs w:val="27"/>
        </w:rPr>
        <w:t> имеют право продавать находящееся у них на законных основаниях на праве личной собственности оружие юридическим лицам, имеющим лицензию на торговлю гражданским и служебным оружием или на коллекционирование или экспонирование оружия, либо государственным военизированным организациям с предварительным уведомлением федерального органа исполнительной власти, уполномоченного в сфере оборота оружия, или его территориального органа, выдавших им разрешение на хранение оружия, на хранение и ношение оружия или хранение и использование оружия, а также гражданам, имеющим лицензию на приобретение оружия, его коллекционирование или экспонирование,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</w:p>
    <w:p w14:paraId="5D712716" w14:textId="77777777" w:rsidR="00F20C49" w:rsidRPr="00F20C49" w:rsidRDefault="00F20C49" w:rsidP="00F20C49">
      <w:pPr>
        <w:pStyle w:val="a3"/>
        <w:shd w:val="clear" w:color="auto" w:fill="F9F9F9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F20C49">
        <w:rPr>
          <w:rFonts w:ascii="Arial" w:hAnsi="Arial" w:cs="Arial"/>
          <w:color w:val="000000" w:themeColor="text1"/>
          <w:sz w:val="27"/>
          <w:szCs w:val="27"/>
        </w:rPr>
        <w:t xml:space="preserve">Таким образом, действия лица, не имеющего на законных основаниях на праве личной собственности гражданское огнестрельное гладкоствольное длинноствольное оружие осуществляющее его отчуждение в собственность иных лиц, также, не имеющих лицензию на приобретение оружия, образуют </w:t>
      </w:r>
      <w:r w:rsidRPr="00F20C49">
        <w:rPr>
          <w:rFonts w:ascii="Arial" w:hAnsi="Arial" w:cs="Arial"/>
          <w:color w:val="000000" w:themeColor="text1"/>
          <w:sz w:val="27"/>
          <w:szCs w:val="27"/>
        </w:rPr>
        <w:lastRenderedPageBreak/>
        <w:t>состав преступления, предусмотренного ч. 4 ст. 222 </w:t>
      </w:r>
      <w:r w:rsidRPr="00F20C49">
        <w:rPr>
          <w:rStyle w:val="hl-obj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Уголовного кодекса Российской Федерации</w:t>
      </w:r>
      <w:r w:rsidRPr="00F20C49">
        <w:rPr>
          <w:rFonts w:ascii="Arial" w:hAnsi="Arial" w:cs="Arial"/>
          <w:color w:val="000000" w:themeColor="text1"/>
          <w:sz w:val="27"/>
          <w:szCs w:val="27"/>
        </w:rPr>
        <w:t>.</w:t>
      </w:r>
    </w:p>
    <w:p w14:paraId="1CD19FBC" w14:textId="77777777" w:rsidR="00AC4F61" w:rsidRPr="00F20C49" w:rsidRDefault="00AC4F61" w:rsidP="00F20C49">
      <w:pPr>
        <w:ind w:firstLine="709"/>
        <w:jc w:val="both"/>
        <w:rPr>
          <w:color w:val="000000" w:themeColor="text1"/>
        </w:rPr>
      </w:pPr>
    </w:p>
    <w:sectPr w:rsidR="00AC4F61" w:rsidRPr="00F20C49" w:rsidSect="00F20C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5"/>
    <w:rsid w:val="00AC4F61"/>
    <w:rsid w:val="00E90EC5"/>
    <w:rsid w:val="00F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C30"/>
  <w15:chartTrackingRefBased/>
  <w15:docId w15:val="{05916F7A-0D44-42A2-A18D-4C7601CE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C49"/>
    <w:rPr>
      <w:b/>
      <w:bCs/>
    </w:rPr>
  </w:style>
  <w:style w:type="character" w:customStyle="1" w:styleId="hl-obj">
    <w:name w:val="hl-obj"/>
    <w:basedOn w:val="a0"/>
    <w:rsid w:val="00F2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Вальтер</dc:creator>
  <cp:keywords/>
  <dc:description/>
  <cp:lastModifiedBy>Михаил Вальтер</cp:lastModifiedBy>
  <cp:revision>2</cp:revision>
  <dcterms:created xsi:type="dcterms:W3CDTF">2019-07-22T04:28:00Z</dcterms:created>
  <dcterms:modified xsi:type="dcterms:W3CDTF">2019-07-22T04:34:00Z</dcterms:modified>
</cp:coreProperties>
</file>